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0D0E" w14:textId="1C1D3A70" w:rsidR="00D10C43" w:rsidRPr="002670A8" w:rsidRDefault="002E646A" w:rsidP="002E6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2670A8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Справка по ИПН</w:t>
      </w:r>
    </w:p>
    <w:p w14:paraId="50C48649" w14:textId="77777777" w:rsidR="002E646A" w:rsidRPr="002670A8" w:rsidRDefault="002E646A" w:rsidP="00D10C43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1EFDCC72" w14:textId="41EA3372" w:rsidR="00D10C43" w:rsidRPr="002670A8" w:rsidRDefault="00D10C43" w:rsidP="00D10C43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670A8">
        <w:rPr>
          <w:rFonts w:ascii="Arial" w:hAnsi="Arial" w:cs="Arial"/>
          <w:sz w:val="28"/>
          <w:szCs w:val="28"/>
          <w:lang w:val="kk-KZ"/>
        </w:rPr>
        <w:t>В последние годы Главой государства неоднократно поднимался вопрос относительно введения прогрессивной шкалы ИПН.</w:t>
      </w:r>
    </w:p>
    <w:p w14:paraId="7315731B" w14:textId="1E60919D" w:rsidR="00894F82" w:rsidRPr="002670A8" w:rsidRDefault="00894F82" w:rsidP="00894F82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670A8">
        <w:rPr>
          <w:rFonts w:ascii="Arial" w:hAnsi="Arial" w:cs="Arial"/>
          <w:sz w:val="28"/>
          <w:szCs w:val="28"/>
          <w:lang w:val="kk-KZ"/>
        </w:rPr>
        <w:t xml:space="preserve">В РК до 2006 года применялась 4-х ступенчатая прогрессивная шкала обложения ИПН с налоговыми ставками от 5 % до 20 % (5%, 10%, 15% и 20% при превышении пороговых значений). </w:t>
      </w:r>
      <w:r w:rsidRPr="002670A8">
        <w:rPr>
          <w:rFonts w:ascii="Arial" w:eastAsia="Arial" w:hAnsi="Arial" w:cs="Arial"/>
          <w:iCs/>
          <w:sz w:val="28"/>
          <w:szCs w:val="28"/>
          <w:lang w:val="kk-KZ"/>
        </w:rPr>
        <w:t xml:space="preserve">По дивидендам и вознаграждениям действовала «плоская» ставка </w:t>
      </w:r>
      <w:r w:rsidRPr="002670A8">
        <w:rPr>
          <w:rFonts w:ascii="Arial" w:eastAsia="Arial" w:hAnsi="Arial" w:cs="Arial"/>
          <w:b/>
          <w:bCs/>
          <w:iCs/>
          <w:sz w:val="28"/>
          <w:szCs w:val="28"/>
          <w:lang w:val="kk-KZ"/>
        </w:rPr>
        <w:t>15</w:t>
      </w:r>
      <w:r w:rsidRPr="002670A8">
        <w:rPr>
          <w:rFonts w:ascii="Arial" w:eastAsia="Arial" w:hAnsi="Arial" w:cs="Arial"/>
          <w:b/>
          <w:bCs/>
          <w:iCs/>
          <w:sz w:val="28"/>
          <w:szCs w:val="28"/>
          <w:lang w:val="ru-RU"/>
        </w:rPr>
        <w:t>%.</w:t>
      </w:r>
    </w:p>
    <w:p w14:paraId="5403F08D" w14:textId="77777777" w:rsidR="002E646A" w:rsidRPr="002670A8" w:rsidRDefault="00894F82" w:rsidP="002E646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670A8">
        <w:rPr>
          <w:rFonts w:ascii="Arial" w:hAnsi="Arial" w:cs="Arial"/>
          <w:sz w:val="28"/>
          <w:szCs w:val="28"/>
          <w:lang w:val="kk-KZ"/>
        </w:rPr>
        <w:t xml:space="preserve">Переход от прогрессивной шкалы к «плоской» ставке 10 % произведен в 2007 году с целью  снижения доли выдачи заработной платы в «конвертах». </w:t>
      </w:r>
    </w:p>
    <w:p w14:paraId="6D8C4A9A" w14:textId="77777777" w:rsidR="002E646A" w:rsidRPr="002670A8" w:rsidRDefault="002E646A" w:rsidP="002E646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670A8">
        <w:rPr>
          <w:rFonts w:ascii="Arial" w:hAnsi="Arial" w:cs="Arial"/>
          <w:sz w:val="28"/>
          <w:szCs w:val="28"/>
          <w:lang w:val="kk-KZ"/>
        </w:rPr>
        <w:t>Аналогично, «плоскую шкалу» ИПН применяют еще 29 стран. Остальные страны, в том числе страны ОЭСР, применяют прогрессивную шкалу.</w:t>
      </w:r>
    </w:p>
    <w:p w14:paraId="04F34A36" w14:textId="6ACDD611" w:rsidR="002E646A" w:rsidRPr="002670A8" w:rsidRDefault="002E646A" w:rsidP="002E646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670A8">
        <w:rPr>
          <w:rFonts w:ascii="Arial" w:hAnsi="Arial" w:cs="Arial"/>
          <w:bCs/>
          <w:sz w:val="28"/>
          <w:szCs w:val="28"/>
          <w:lang w:val="ru-RU"/>
        </w:rPr>
        <w:t>Страны с «плоской шкалой»: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</w:t>
      </w:r>
      <w:r w:rsidR="00951114" w:rsidRPr="002670A8">
        <w:rPr>
          <w:rFonts w:ascii="Arial" w:hAnsi="Arial" w:cs="Arial"/>
          <w:iCs/>
          <w:sz w:val="28"/>
          <w:szCs w:val="28"/>
          <w:lang w:val="kk-KZ"/>
        </w:rPr>
        <w:t xml:space="preserve">Узбекистан – 12%, Армения – 20%, Грузия – 20%, </w:t>
      </w:r>
      <w:r w:rsidRPr="002670A8">
        <w:rPr>
          <w:rFonts w:ascii="Arial" w:hAnsi="Arial" w:cs="Arial"/>
          <w:iCs/>
          <w:sz w:val="28"/>
          <w:szCs w:val="28"/>
          <w:lang w:val="kk-KZ"/>
        </w:rPr>
        <w:t xml:space="preserve">Эстония – 20%, </w:t>
      </w:r>
      <w:r w:rsidR="00951114" w:rsidRPr="002670A8">
        <w:rPr>
          <w:rFonts w:ascii="Arial" w:hAnsi="Arial" w:cs="Arial"/>
          <w:iCs/>
          <w:sz w:val="28"/>
          <w:szCs w:val="28"/>
          <w:lang w:val="kk-KZ"/>
        </w:rPr>
        <w:t>Румыния – 10%, Туркменистан</w:t>
      </w:r>
      <w:r w:rsidRPr="002670A8">
        <w:rPr>
          <w:rFonts w:ascii="Arial" w:hAnsi="Arial" w:cs="Arial"/>
          <w:iCs/>
          <w:sz w:val="28"/>
          <w:szCs w:val="28"/>
          <w:lang w:val="kk-KZ"/>
        </w:rPr>
        <w:t xml:space="preserve"> - 1</w:t>
      </w:r>
      <w:r w:rsidR="00951114" w:rsidRPr="002670A8">
        <w:rPr>
          <w:rFonts w:ascii="Arial" w:hAnsi="Arial" w:cs="Arial"/>
          <w:iCs/>
          <w:sz w:val="28"/>
          <w:szCs w:val="28"/>
          <w:lang w:val="kk-KZ"/>
        </w:rPr>
        <w:t>0</w:t>
      </w:r>
      <w:r w:rsidRPr="002670A8">
        <w:rPr>
          <w:rFonts w:ascii="Arial" w:hAnsi="Arial" w:cs="Arial"/>
          <w:iCs/>
          <w:sz w:val="28"/>
          <w:szCs w:val="28"/>
          <w:lang w:val="kk-KZ"/>
        </w:rPr>
        <w:t>%, Кыргызстан – 10%.</w:t>
      </w:r>
    </w:p>
    <w:p w14:paraId="1BE48AD9" w14:textId="00D42306" w:rsidR="002E646A" w:rsidRPr="002670A8" w:rsidRDefault="002E646A" w:rsidP="002E646A">
      <w:pPr>
        <w:spacing w:line="360" w:lineRule="auto"/>
        <w:ind w:firstLine="709"/>
        <w:contextualSpacing/>
        <w:jc w:val="both"/>
        <w:rPr>
          <w:rFonts w:ascii="Arial" w:hAnsi="Arial" w:cs="Arial"/>
          <w:bCs/>
          <w:i/>
          <w:sz w:val="28"/>
          <w:szCs w:val="28"/>
          <w:lang w:val="ru-RU"/>
        </w:rPr>
      </w:pPr>
      <w:r w:rsidRPr="002670A8">
        <w:rPr>
          <w:rFonts w:ascii="Arial" w:hAnsi="Arial" w:cs="Arial"/>
          <w:bCs/>
          <w:sz w:val="28"/>
          <w:szCs w:val="28"/>
          <w:lang w:val="ru-RU"/>
        </w:rPr>
        <w:t>Страны с прогрессивной шкалой:</w:t>
      </w:r>
      <w:r w:rsidRPr="002670A8">
        <w:rPr>
          <w:rFonts w:ascii="Arial" w:hAnsi="Arial" w:cs="Arial"/>
          <w:bCs/>
          <w:i/>
          <w:sz w:val="28"/>
          <w:szCs w:val="28"/>
          <w:lang w:val="ru-RU"/>
        </w:rPr>
        <w:t xml:space="preserve"> </w:t>
      </w:r>
      <w:r w:rsidRPr="002670A8">
        <w:rPr>
          <w:rFonts w:ascii="Arial" w:hAnsi="Arial" w:cs="Arial"/>
          <w:iCs/>
          <w:sz w:val="28"/>
          <w:szCs w:val="28"/>
          <w:lang w:val="kk-KZ"/>
        </w:rPr>
        <w:t>Франция – от 5% до 49%, Великобритания – от</w:t>
      </w:r>
      <w:r w:rsidR="00951114" w:rsidRPr="002670A8">
        <w:rPr>
          <w:rFonts w:ascii="Arial" w:hAnsi="Arial" w:cs="Arial"/>
          <w:iCs/>
          <w:sz w:val="28"/>
          <w:szCs w:val="28"/>
          <w:lang w:val="kk-KZ"/>
        </w:rPr>
        <w:t xml:space="preserve"> 0</w:t>
      </w:r>
      <w:r w:rsidRPr="002670A8">
        <w:rPr>
          <w:rFonts w:ascii="Arial" w:hAnsi="Arial" w:cs="Arial"/>
          <w:iCs/>
          <w:sz w:val="28"/>
          <w:szCs w:val="28"/>
          <w:lang w:val="kk-KZ"/>
        </w:rPr>
        <w:t xml:space="preserve">% до 45%, Австралия – от </w:t>
      </w:r>
      <w:r w:rsidR="00951114" w:rsidRPr="002670A8">
        <w:rPr>
          <w:rFonts w:ascii="Arial" w:hAnsi="Arial" w:cs="Arial"/>
          <w:iCs/>
          <w:sz w:val="28"/>
          <w:szCs w:val="28"/>
          <w:lang w:val="kk-KZ"/>
        </w:rPr>
        <w:t>0</w:t>
      </w:r>
      <w:r w:rsidRPr="002670A8">
        <w:rPr>
          <w:rFonts w:ascii="Arial" w:hAnsi="Arial" w:cs="Arial"/>
          <w:iCs/>
          <w:sz w:val="28"/>
          <w:szCs w:val="28"/>
          <w:lang w:val="kk-KZ"/>
        </w:rPr>
        <w:t xml:space="preserve">% до 45%, Германия – от </w:t>
      </w:r>
      <w:r w:rsidR="00951114" w:rsidRPr="002670A8">
        <w:rPr>
          <w:rFonts w:ascii="Arial" w:hAnsi="Arial" w:cs="Arial"/>
          <w:iCs/>
          <w:sz w:val="28"/>
          <w:szCs w:val="28"/>
          <w:lang w:val="kk-KZ"/>
        </w:rPr>
        <w:t>0</w:t>
      </w:r>
      <w:r w:rsidRPr="002670A8">
        <w:rPr>
          <w:rFonts w:ascii="Arial" w:hAnsi="Arial" w:cs="Arial"/>
          <w:iCs/>
          <w:sz w:val="28"/>
          <w:szCs w:val="28"/>
          <w:lang w:val="kk-KZ"/>
        </w:rPr>
        <w:t>% до 45%, КНР – от 3% до 45%, США – от 10% до 40%, Канада – от 15% до 29%.</w:t>
      </w:r>
    </w:p>
    <w:p w14:paraId="6F0DE035" w14:textId="77777777" w:rsidR="002E646A" w:rsidRPr="002670A8" w:rsidRDefault="002E646A" w:rsidP="00894F82">
      <w:pPr>
        <w:spacing w:line="360" w:lineRule="auto"/>
        <w:ind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</w:p>
    <w:p w14:paraId="28271B50" w14:textId="4FAE8B05" w:rsidR="00894F82" w:rsidRPr="002670A8" w:rsidRDefault="002E646A" w:rsidP="00894F82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>Следует отметить, что в</w:t>
      </w:r>
      <w:r w:rsidR="00894F82" w:rsidRPr="002670A8">
        <w:rPr>
          <w:rFonts w:ascii="Arial" w:hAnsi="Arial" w:cs="Arial"/>
          <w:sz w:val="28"/>
          <w:szCs w:val="28"/>
          <w:lang w:val="ru-RU"/>
        </w:rPr>
        <w:t xml:space="preserve"> проекте Налогового кодекса предлагаются дифференцированные ставки по отдельным видам доходов.</w:t>
      </w:r>
    </w:p>
    <w:p w14:paraId="2FF16A38" w14:textId="77777777" w:rsidR="00610789" w:rsidRPr="002670A8" w:rsidRDefault="00894F82" w:rsidP="00610789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 xml:space="preserve">В отношении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резидентов</w:t>
      </w:r>
      <w:r w:rsidRPr="002670A8">
        <w:rPr>
          <w:rFonts w:ascii="Arial" w:hAnsi="Arial" w:cs="Arial"/>
          <w:sz w:val="28"/>
          <w:szCs w:val="28"/>
          <w:lang w:val="ru-RU"/>
        </w:rPr>
        <w:t>:</w:t>
      </w:r>
    </w:p>
    <w:p w14:paraId="6C4AE7CE" w14:textId="7391803C" w:rsidR="00894F82" w:rsidRPr="002670A8" w:rsidRDefault="00894F82" w:rsidP="00610789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общеустановленная ставка;</w:t>
      </w:r>
    </w:p>
    <w:p w14:paraId="3287BFE9" w14:textId="15581F12" w:rsidR="00610789" w:rsidRPr="002670A8" w:rsidRDefault="00610789" w:rsidP="0061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2F5496" w:themeColor="accent1" w:themeShade="BF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="00894F82" w:rsidRPr="002670A8">
        <w:rPr>
          <w:rFonts w:ascii="Arial" w:hAnsi="Arial" w:cs="Arial"/>
          <w:b/>
          <w:bCs/>
          <w:sz w:val="28"/>
          <w:szCs w:val="28"/>
          <w:lang w:val="ru-RU"/>
        </w:rPr>
        <w:t>9%</w:t>
      </w:r>
      <w:r w:rsidR="00894F82" w:rsidRPr="002670A8">
        <w:rPr>
          <w:rFonts w:ascii="Arial" w:hAnsi="Arial" w:cs="Arial"/>
          <w:sz w:val="28"/>
          <w:szCs w:val="28"/>
          <w:lang w:val="ru-RU"/>
        </w:rPr>
        <w:t xml:space="preserve"> - доходы лица, занимающегося частной практикой</w:t>
      </w:r>
      <w:r w:rsidRPr="002670A8">
        <w:rPr>
          <w:rFonts w:ascii="Arial" w:hAnsi="Arial" w:cs="Arial"/>
          <w:sz w:val="28"/>
          <w:szCs w:val="28"/>
          <w:lang w:val="ru-RU"/>
        </w:rPr>
        <w:t>;</w:t>
      </w:r>
    </w:p>
    <w:p w14:paraId="0CA7A69A" w14:textId="77777777" w:rsidR="00610789" w:rsidRPr="002670A8" w:rsidRDefault="00610789" w:rsidP="0061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ab/>
      </w:r>
      <w:r w:rsidRPr="002670A8">
        <w:rPr>
          <w:rFonts w:ascii="Arial" w:eastAsia="Arial" w:hAnsi="Arial" w:cs="Arial"/>
          <w:b/>
          <w:bCs/>
          <w:iCs/>
          <w:sz w:val="28"/>
          <w:szCs w:val="28"/>
          <w:lang w:val="ru-RU"/>
        </w:rPr>
        <w:t>5%</w:t>
      </w: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 xml:space="preserve"> -</w:t>
      </w:r>
      <w:r w:rsidRPr="002670A8">
        <w:rPr>
          <w:rFonts w:ascii="Arial" w:eastAsia="Arial" w:hAnsi="Arial" w:cs="Arial"/>
          <w:i/>
          <w:sz w:val="28"/>
          <w:szCs w:val="28"/>
          <w:lang w:val="ru-RU"/>
        </w:rPr>
        <w:t xml:space="preserve">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для налогоплательщиков, осуществляющих производство и </w:t>
      </w:r>
      <w:r w:rsidRPr="002670A8">
        <w:rPr>
          <w:rFonts w:ascii="Arial" w:hAnsi="Arial" w:cs="Arial"/>
          <w:sz w:val="28"/>
          <w:szCs w:val="28"/>
          <w:lang w:val="ru-RU"/>
        </w:rPr>
        <w:lastRenderedPageBreak/>
        <w:t>реализацию продукции собственного производства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670A8">
        <w:rPr>
          <w:rFonts w:ascii="Arial" w:hAnsi="Arial" w:cs="Arial"/>
          <w:sz w:val="28"/>
          <w:szCs w:val="28"/>
          <w:lang w:val="ru-RU"/>
        </w:rPr>
        <w:t>(по видам деятельности обрабатывающей промышленности);</w:t>
      </w:r>
    </w:p>
    <w:p w14:paraId="1532799E" w14:textId="09CBE7D6" w:rsidR="00610789" w:rsidRPr="002670A8" w:rsidRDefault="00610789" w:rsidP="0061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3%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доходы крестьянских или фермерских хозяйств. </w:t>
      </w:r>
    </w:p>
    <w:p w14:paraId="65E33173" w14:textId="23C89BEC" w:rsidR="00610789" w:rsidRPr="002670A8" w:rsidRDefault="00610789" w:rsidP="00610789">
      <w:pPr>
        <w:widowControl w:val="0"/>
        <w:spacing w:after="0" w:line="36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  <w:t xml:space="preserve">В отношении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нерезидентов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4A382EF" w14:textId="77777777" w:rsidR="00610789" w:rsidRPr="002670A8" w:rsidRDefault="00610789" w:rsidP="00610789">
      <w:pPr>
        <w:widowControl w:val="0"/>
        <w:spacing w:after="0" w:line="36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20%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доходы нерезидента из источников в Республике Казахстан; </w:t>
      </w:r>
    </w:p>
    <w:p w14:paraId="525ED468" w14:textId="780046B5" w:rsidR="00610789" w:rsidRPr="002670A8" w:rsidRDefault="00610789" w:rsidP="00610789">
      <w:pPr>
        <w:widowControl w:val="0"/>
        <w:spacing w:after="0" w:line="36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15%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страховые премии по договорам страхования рисков доходы от прироста стоимости, дивиденды, вознаграждения, роялти;</w:t>
      </w:r>
    </w:p>
    <w:p w14:paraId="026CA666" w14:textId="77777777" w:rsidR="00610789" w:rsidRPr="002670A8" w:rsidRDefault="00610789" w:rsidP="00610789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вознаграждения по кредитам (займам), долговым ценным бумагам, а также доходы, указанные в пункте 3 статьи 679; </w:t>
      </w:r>
    </w:p>
    <w:p w14:paraId="06043398" w14:textId="333E09CF" w:rsidR="00610789" w:rsidRPr="002670A8" w:rsidRDefault="00610789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>5%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страховые премии по договорам перестрахования рисков доходы от оказания услуг по международной перевозке, дивиденды, выплачиваемые лицу, прямо или косвенно владеющему не менее 25% капитала юр. лица-резидента, выплачивающего дивиденды</w:t>
      </w:r>
      <w:r w:rsidR="002E646A" w:rsidRPr="002670A8">
        <w:rPr>
          <w:rFonts w:ascii="Arial" w:hAnsi="Arial" w:cs="Arial"/>
          <w:sz w:val="28"/>
          <w:szCs w:val="28"/>
          <w:lang w:val="ru-RU"/>
        </w:rPr>
        <w:t>.</w:t>
      </w:r>
    </w:p>
    <w:p w14:paraId="39282B33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>В проекте Налогового кодекса также предлагаются следующие подходы по ИПН:</w:t>
      </w:r>
    </w:p>
    <w:p w14:paraId="550E08D6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>исключение налоговых вычетов на обучение, медицину, вознаграждение по ипотечным жилищным займам, для многодетных семей, требующих документальное подтверждение физ. лицами</w:t>
      </w:r>
      <w:r w:rsidRPr="002670A8">
        <w:rPr>
          <w:rFonts w:ascii="Arial" w:hAnsi="Arial" w:cs="Arial"/>
          <w:iCs/>
          <w:sz w:val="28"/>
          <w:szCs w:val="28"/>
          <w:lang w:val="ru-RU"/>
        </w:rPr>
        <w:t>;</w:t>
      </w:r>
    </w:p>
    <w:p w14:paraId="1675D442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 xml:space="preserve">новая идеология налоговых вычетов: базовый налоговый вычет </w:t>
      </w:r>
      <w:r w:rsidRPr="002670A8">
        <w:rPr>
          <w:rFonts w:ascii="Arial" w:eastAsia="Arial" w:hAnsi="Arial" w:cs="Arial"/>
          <w:b/>
          <w:bCs/>
          <w:iCs/>
          <w:sz w:val="28"/>
          <w:szCs w:val="28"/>
          <w:lang w:val="ru-RU"/>
        </w:rPr>
        <w:t>30 МРП для всех</w:t>
      </w: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>, социальные вычеты (лица с инвалидностью, ветераны, усыновители, опекуны), вычет социальных платежей (ОПВ, ОСМС);</w:t>
      </w:r>
    </w:p>
    <w:p w14:paraId="415CABA3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2670A8">
        <w:rPr>
          <w:rFonts w:ascii="Arial" w:hAnsi="Arial" w:cs="Arial"/>
          <w:iCs/>
          <w:sz w:val="28"/>
          <w:szCs w:val="28"/>
          <w:lang w:val="ru-RU"/>
        </w:rPr>
        <w:t>освобождение от налогообложения пенсионных выплат, в том числе единовременных пенсионных выплат;</w:t>
      </w:r>
    </w:p>
    <w:p w14:paraId="1B3166E1" w14:textId="6F13A314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>определение дохода от прироста стоимости при реализации ценных бумаг с учетом отрицательных и положительных результатов сделок и вычет вознаграждений брокера;</w:t>
      </w:r>
    </w:p>
    <w:p w14:paraId="15618330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 xml:space="preserve">изменение структуры раздела с выделением отдельных глав при обложении самостоятельно и налоговым агентом с классификацией </w:t>
      </w:r>
      <w:r w:rsidRPr="002670A8">
        <w:rPr>
          <w:rFonts w:ascii="Arial" w:eastAsia="Arial" w:hAnsi="Arial" w:cs="Arial"/>
          <w:iCs/>
          <w:sz w:val="28"/>
          <w:szCs w:val="28"/>
          <w:lang w:val="ru-RU"/>
        </w:rPr>
        <w:lastRenderedPageBreak/>
        <w:t>доходов и их уменьшений (корректировок);</w:t>
      </w:r>
    </w:p>
    <w:p w14:paraId="58F297EF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>инвентаризация и структурирование налоговых льгот по тематике видов доходов, раскрытие дохода от прироста стоимости по видам имущества;</w:t>
      </w:r>
    </w:p>
    <w:p w14:paraId="6DBBA14F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>право физического лица на корректировку налоговых вычетов посредством представления декларации.</w:t>
      </w:r>
    </w:p>
    <w:p w14:paraId="5E18EEA1" w14:textId="77777777" w:rsidR="002E646A" w:rsidRPr="002670A8" w:rsidRDefault="002E646A" w:rsidP="002E646A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 xml:space="preserve">При проработке вопроса по введению в Казахстане прогрессивной шкалы ИПН рассматривалось несколько вариантов.  </w:t>
      </w:r>
    </w:p>
    <w:p w14:paraId="7D8776D8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Первый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вариант дифференциации дохода: до 3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, свыше 3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15%.</w:t>
      </w:r>
    </w:p>
    <w:p w14:paraId="50E72CEF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Второй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вариант дифференциации дохода: до 1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, от 1 до 2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15%,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от 2 до 3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20%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, свыше 1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25%</w:t>
      </w:r>
      <w:r w:rsidRPr="002670A8">
        <w:rPr>
          <w:rFonts w:ascii="Arial" w:hAnsi="Arial" w:cs="Arial"/>
          <w:sz w:val="28"/>
          <w:szCs w:val="28"/>
          <w:lang w:val="ru-RU"/>
        </w:rPr>
        <w:t>.</w:t>
      </w:r>
    </w:p>
    <w:p w14:paraId="4FB3BF64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Третий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вариант дифференциации дохода: до 1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, от 1 до 3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15%,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свыше 3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20%</w:t>
      </w:r>
      <w:r w:rsidRPr="002670A8">
        <w:rPr>
          <w:rFonts w:ascii="Arial" w:hAnsi="Arial" w:cs="Arial"/>
          <w:sz w:val="28"/>
          <w:szCs w:val="28"/>
          <w:lang w:val="ru-RU"/>
        </w:rPr>
        <w:t>.</w:t>
      </w:r>
    </w:p>
    <w:p w14:paraId="3DC22EC1" w14:textId="77777777" w:rsidR="002E646A" w:rsidRPr="002670A8" w:rsidRDefault="002E646A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Четвертый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вариант дифференциации дохода: до 0,5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, от 0,5 до 1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 xml:space="preserve">15%, 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от 1 до 2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20%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, от 2 до 3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25%,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свыше 3 млн. – </w:t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30%</w:t>
      </w:r>
      <w:r w:rsidRPr="002670A8">
        <w:rPr>
          <w:rFonts w:ascii="Arial" w:hAnsi="Arial" w:cs="Arial"/>
          <w:sz w:val="28"/>
          <w:szCs w:val="28"/>
          <w:lang w:val="ru-RU"/>
        </w:rPr>
        <w:t>.</w:t>
      </w:r>
    </w:p>
    <w:p w14:paraId="6E0B0E15" w14:textId="77777777" w:rsidR="002E646A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 w:val="ru-RU"/>
        </w:rPr>
      </w:pPr>
    </w:p>
    <w:p w14:paraId="0798151F" w14:textId="76182863" w:rsidR="00610789" w:rsidRDefault="00610789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/>
        </w:rPr>
      </w:pPr>
    </w:p>
    <w:p w14:paraId="17D25B8C" w14:textId="7C0ECDD1" w:rsidR="002E646A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/>
        </w:rPr>
      </w:pPr>
    </w:p>
    <w:p w14:paraId="5EFAC176" w14:textId="54DCB37E" w:rsidR="002E646A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/>
        </w:rPr>
      </w:pPr>
    </w:p>
    <w:p w14:paraId="31DECAA2" w14:textId="4B1064DE" w:rsidR="002E646A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/>
        </w:rPr>
      </w:pPr>
    </w:p>
    <w:p w14:paraId="4EFA8572" w14:textId="77777777" w:rsidR="002E646A" w:rsidRPr="00610789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/>
        </w:rPr>
      </w:pPr>
    </w:p>
    <w:p w14:paraId="52494509" w14:textId="77777777" w:rsidR="00A97486" w:rsidRPr="00D10C43" w:rsidRDefault="00AC0AEF">
      <w:pPr>
        <w:rPr>
          <w:rFonts w:ascii="Times New Roman" w:hAnsi="Times New Roman" w:cs="Times New Roman"/>
          <w:sz w:val="28"/>
          <w:szCs w:val="28"/>
          <w:lang/>
        </w:rPr>
      </w:pPr>
    </w:p>
    <w:sectPr w:rsidR="00A97486" w:rsidRPr="00D10C43" w:rsidSect="002F4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2B357" w14:textId="77777777" w:rsidR="00AC0AEF" w:rsidRDefault="00AC0AEF" w:rsidP="002F4DA1">
      <w:pPr>
        <w:spacing w:after="0" w:line="240" w:lineRule="auto"/>
      </w:pPr>
      <w:r>
        <w:separator/>
      </w:r>
    </w:p>
  </w:endnote>
  <w:endnote w:type="continuationSeparator" w:id="0">
    <w:p w14:paraId="4828221A" w14:textId="77777777" w:rsidR="00AC0AEF" w:rsidRDefault="00AC0AEF" w:rsidP="002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A462" w14:textId="77777777" w:rsidR="002F4DA1" w:rsidRDefault="002F4D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1F4D" w14:textId="77777777" w:rsidR="002F4DA1" w:rsidRDefault="002F4D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6435" w14:textId="77777777" w:rsidR="002F4DA1" w:rsidRDefault="002F4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E33CB" w14:textId="77777777" w:rsidR="00AC0AEF" w:rsidRDefault="00AC0AEF" w:rsidP="002F4DA1">
      <w:pPr>
        <w:spacing w:after="0" w:line="240" w:lineRule="auto"/>
      </w:pPr>
      <w:r>
        <w:separator/>
      </w:r>
    </w:p>
  </w:footnote>
  <w:footnote w:type="continuationSeparator" w:id="0">
    <w:p w14:paraId="1FB25FC7" w14:textId="77777777" w:rsidR="00AC0AEF" w:rsidRDefault="00AC0AEF" w:rsidP="002F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A9858" w14:textId="77777777" w:rsidR="002F4DA1" w:rsidRDefault="002F4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8650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6D2251" w14:textId="1D327805" w:rsidR="002F4DA1" w:rsidRPr="002F4DA1" w:rsidRDefault="002F4D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4D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D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4D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4DA1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2F4D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C3DA86" w14:textId="77777777" w:rsidR="002F4DA1" w:rsidRDefault="002F4D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D964" w14:textId="77777777" w:rsidR="002F4DA1" w:rsidRDefault="002F4D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70C1"/>
    <w:multiLevelType w:val="hybridMultilevel"/>
    <w:tmpl w:val="ED1C075E"/>
    <w:lvl w:ilvl="0" w:tplc="EBF47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A2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04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80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07A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22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EB7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871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D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1ECF"/>
    <w:multiLevelType w:val="hybridMultilevel"/>
    <w:tmpl w:val="40EE6254"/>
    <w:lvl w:ilvl="0" w:tplc="94F0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84D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C3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E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6E9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1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0A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E9B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81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4C0"/>
    <w:multiLevelType w:val="hybridMultilevel"/>
    <w:tmpl w:val="9A24C526"/>
    <w:lvl w:ilvl="0" w:tplc="D0747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293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29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A6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82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3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0D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A58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C5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0475"/>
    <w:multiLevelType w:val="hybridMultilevel"/>
    <w:tmpl w:val="5916FFCC"/>
    <w:lvl w:ilvl="0" w:tplc="D8783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E8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DF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254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F1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0D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23E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0C6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2F2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42578"/>
    <w:multiLevelType w:val="hybridMultilevel"/>
    <w:tmpl w:val="3AECE35A"/>
    <w:lvl w:ilvl="0" w:tplc="8D2682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00D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C3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CC4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C76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6B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E88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D6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AAD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26305"/>
    <w:multiLevelType w:val="hybridMultilevel"/>
    <w:tmpl w:val="085C0262"/>
    <w:lvl w:ilvl="0" w:tplc="C160F0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A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B9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0A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C50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841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43B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C7F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EAD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507D"/>
    <w:multiLevelType w:val="hybridMultilevel"/>
    <w:tmpl w:val="03149062"/>
    <w:lvl w:ilvl="0" w:tplc="81225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6D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A6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0C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099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2E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A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E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8A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14060"/>
    <w:multiLevelType w:val="hybridMultilevel"/>
    <w:tmpl w:val="A78EA798"/>
    <w:lvl w:ilvl="0" w:tplc="DB5873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8CF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ADD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AD3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6F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A18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AB3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2E8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E9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7115"/>
    <w:multiLevelType w:val="hybridMultilevel"/>
    <w:tmpl w:val="1444F0AC"/>
    <w:lvl w:ilvl="0" w:tplc="A290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4E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3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2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F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E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4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CA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E4"/>
    <w:rsid w:val="001C28B5"/>
    <w:rsid w:val="001F0F4A"/>
    <w:rsid w:val="00264E7F"/>
    <w:rsid w:val="002670A8"/>
    <w:rsid w:val="002E646A"/>
    <w:rsid w:val="002F4DA1"/>
    <w:rsid w:val="00463F25"/>
    <w:rsid w:val="004953FA"/>
    <w:rsid w:val="004E6E9C"/>
    <w:rsid w:val="004F70F4"/>
    <w:rsid w:val="00610789"/>
    <w:rsid w:val="007B08F7"/>
    <w:rsid w:val="007E56AA"/>
    <w:rsid w:val="00894F82"/>
    <w:rsid w:val="00951114"/>
    <w:rsid w:val="00A13BCC"/>
    <w:rsid w:val="00AC0AEF"/>
    <w:rsid w:val="00D10C43"/>
    <w:rsid w:val="00E93AE4"/>
    <w:rsid w:val="00ED17C2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0C9F"/>
  <w15:chartTrackingRefBased/>
  <w15:docId w15:val="{812E4DF8-1BFF-4688-89CC-C7CDC695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4D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DA1"/>
  </w:style>
  <w:style w:type="paragraph" w:styleId="a6">
    <w:name w:val="footer"/>
    <w:basedOn w:val="a"/>
    <w:link w:val="a7"/>
    <w:uiPriority w:val="99"/>
    <w:unhideWhenUsed/>
    <w:rsid w:val="002F4D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40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19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717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7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210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291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07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063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2156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417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6727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70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080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225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5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693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8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6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9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5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9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Аселгул Таванова</dc:creator>
  <cp:keywords/>
  <dc:description/>
  <cp:lastModifiedBy>User</cp:lastModifiedBy>
  <cp:revision>2</cp:revision>
  <dcterms:created xsi:type="dcterms:W3CDTF">2024-10-10T05:09:00Z</dcterms:created>
  <dcterms:modified xsi:type="dcterms:W3CDTF">2024-10-10T05:09:00Z</dcterms:modified>
</cp:coreProperties>
</file>